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B30EE3E" w14:paraId="62F65705" wp14:textId="393D386B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7B30EE3E">
        <w:drawing>
          <wp:inline xmlns:wp14="http://schemas.microsoft.com/office/word/2010/wordprocessingDrawing" wp14:editId="4D439B86" wp14:anchorId="4D8136F5">
            <wp:extent cx="1914525" cy="1114425"/>
            <wp:effectExtent l="0" t="0" r="0" b="0"/>
            <wp:docPr id="8767527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95ffa47f7b45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B30EE3E" w:rsidR="7B30EE3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RIVERSIDE SCHOOL</w:t>
      </w:r>
    </w:p>
    <w:p xmlns:wp14="http://schemas.microsoft.com/office/word/2010/wordml" w:rsidP="54F247EE" w14:paraId="62866B76" wp14:textId="570419D1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4F247EE" w:rsidR="7B30EE3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</w:t>
      </w:r>
      <w:r w:rsidRPr="54F247EE" w:rsidR="1CD7F717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</w:t>
      </w:r>
      <w:r w:rsidRPr="54F247EE" w:rsidR="7B30EE3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-202</w:t>
      </w:r>
      <w:r w:rsidRPr="54F247EE" w:rsidR="0D0664F7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4</w:t>
      </w:r>
      <w:r w:rsidRPr="54F247EE" w:rsidR="7B30EE3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SCHOOL SUPPLY LIST</w:t>
      </w:r>
    </w:p>
    <w:p xmlns:wp14="http://schemas.microsoft.com/office/word/2010/wordml" w:rsidP="7B30EE3E" w14:paraId="46E382EF" wp14:textId="0DED6CF0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D69EED6" w:rsidR="7B30EE3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FIFTH GRADE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7875"/>
      </w:tblGrid>
      <w:tr w:rsidR="7B30EE3E" w:rsidTr="2A3DBDE6" w14:paraId="5EF88330">
        <w:tc>
          <w:tcPr>
            <w:tcW w:w="1440" w:type="dxa"/>
            <w:shd w:val="clear" w:color="auto" w:fill="F2F2F2" w:themeFill="background1" w:themeFillShade="F2"/>
            <w:tcMar/>
            <w:vAlign w:val="top"/>
          </w:tcPr>
          <w:p w:rsidR="7B30EE3E" w:rsidP="5B523B1B" w:rsidRDefault="7B30EE3E" w14:paraId="08AD57F5" w14:textId="7ADAF766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B523B1B" w:rsidR="7B30EE3E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7875" w:type="dxa"/>
            <w:shd w:val="clear" w:color="auto" w:fill="F2F2F2" w:themeFill="background1" w:themeFillShade="F2"/>
            <w:tcMar/>
            <w:vAlign w:val="top"/>
          </w:tcPr>
          <w:p w:rsidR="7B30EE3E" w:rsidP="5B523B1B" w:rsidRDefault="7B30EE3E" w14:paraId="58CCAC5E" w14:textId="75C85A77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B523B1B" w:rsidR="7B30EE3E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School Supply</w:t>
            </w:r>
          </w:p>
          <w:p w:rsidR="7B30EE3E" w:rsidP="5B523B1B" w:rsidRDefault="7B30EE3E" w14:paraId="750EA2D2" w14:textId="70824ADD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B30EE3E" w:rsidTr="2A3DBDE6" w14:paraId="45EEB150">
        <w:tc>
          <w:tcPr>
            <w:tcW w:w="1440" w:type="dxa"/>
            <w:tcMar/>
            <w:vAlign w:val="top"/>
          </w:tcPr>
          <w:p w:rsidR="7B30EE3E" w:rsidP="2A3DBDE6" w:rsidRDefault="7B30EE3E" w14:paraId="2279133A" w14:textId="23EBAD84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3F55402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7875" w:type="dxa"/>
            <w:tcMar/>
            <w:vAlign w:val="top"/>
          </w:tcPr>
          <w:p w:rsidR="7B30EE3E" w:rsidP="5B523B1B" w:rsidRDefault="7B30EE3E" w14:paraId="3243097D" w14:textId="28719AB1">
            <w:pPr>
              <w:pStyle w:val="Normal"/>
              <w:spacing w:line="259" w:lineRule="auto"/>
              <w:ind w:left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3F55402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Single </w:t>
            </w:r>
            <w:r w:rsidRPr="5B523B1B" w:rsidR="7B30EE3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Subject spiral notebooks</w:t>
            </w:r>
            <w:r w:rsidRPr="5B523B1B" w:rsidR="25BD5E3D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5B523B1B" w:rsidR="25BD5E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B523B1B" w:rsidR="25BD5E3D">
              <w:rPr>
                <w:rFonts w:ascii="Congenial" w:hAnsi="Congenial" w:eastAsia="Congenial" w:cs="Congenial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70/80 sheets, wide ruled</w:t>
            </w:r>
            <w:r w:rsidRPr="5B523B1B" w:rsidR="25A9BD88">
              <w:rPr>
                <w:rFonts w:ascii="Congenial" w:hAnsi="Congenial" w:eastAsia="Congenial" w:cs="Congenial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7B30EE3E" w:rsidP="5B523B1B" w:rsidRDefault="7B30EE3E" w14:paraId="6A0CACDE" w14:textId="61F3A045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2A5280B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w:r w:rsidRPr="5B523B1B" w:rsidR="3CF89413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Red</w:t>
            </w:r>
            <w:r w:rsidRPr="5B523B1B" w:rsidR="3B4A13D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,</w:t>
            </w:r>
            <w:r w:rsidRPr="5B523B1B" w:rsidR="52E0D698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B523B1B" w:rsidR="66612D85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yellow</w:t>
            </w:r>
            <w:r w:rsidRPr="5B523B1B" w:rsidR="66612D85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blue, </w:t>
            </w:r>
            <w:r w:rsidRPr="5B523B1B" w:rsidR="7F39AD2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green, </w:t>
            </w:r>
            <w:r w:rsidRPr="5B523B1B" w:rsidR="7F39AD2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purple</w:t>
            </w:r>
            <w:r w:rsidRPr="5B523B1B" w:rsidR="688CC51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</w:tr>
      <w:tr w:rsidR="7B30EE3E" w:rsidTr="2A3DBDE6" w14:paraId="5E1810FA">
        <w:tc>
          <w:tcPr>
            <w:tcW w:w="1440" w:type="dxa"/>
            <w:tcMar/>
            <w:vAlign w:val="top"/>
          </w:tcPr>
          <w:p w:rsidR="7B30EE3E" w:rsidP="2A3DBDE6" w:rsidRDefault="7B30EE3E" w14:paraId="3DF377BD" w14:textId="7DB2611D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7B30EE3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7875" w:type="dxa"/>
            <w:tcMar/>
            <w:vAlign w:val="top"/>
          </w:tcPr>
          <w:p w:rsidR="7B30EE3E" w:rsidP="5B523B1B" w:rsidRDefault="7B30EE3E" w14:paraId="7216FD14" w14:textId="598FB64A">
            <w:pPr>
              <w:pStyle w:val="Normal"/>
              <w:spacing w:line="259" w:lineRule="auto"/>
              <w:ind w:left="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49212141">
              <w:rPr>
                <w:rFonts w:ascii="Congenial" w:hAnsi="Congenial" w:eastAsia="Congenial" w:cs="Congenial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two-pocket (</w:t>
            </w:r>
            <w:r w:rsidRPr="5B523B1B" w:rsidR="49212141">
              <w:rPr>
                <w:rFonts w:ascii="Congenial" w:hAnsi="Congenial" w:eastAsia="Congenial" w:cs="Congenial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strong/sturdy</w:t>
            </w:r>
            <w:r w:rsidRPr="5B523B1B" w:rsidR="49212141">
              <w:rPr>
                <w:rFonts w:ascii="Congenial" w:hAnsi="Congenial" w:eastAsia="Congenial" w:cs="Congenial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 folders with pockets on bottom</w:t>
            </w:r>
            <w:r w:rsidRPr="5B523B1B" w:rsidR="78AA0A1D">
              <w:rPr>
                <w:rFonts w:ascii="Congenial" w:hAnsi="Congenial" w:eastAsia="Congenial" w:cs="Congenial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 (</w:t>
            </w:r>
            <w:r w:rsidRPr="5B523B1B" w:rsidR="1158CB7C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red,</w:t>
            </w:r>
            <w:r w:rsidRPr="5B523B1B" w:rsidR="20B71CD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B523B1B" w:rsidR="7B30EE3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yellow, </w:t>
            </w:r>
            <w:r w:rsidRPr="5B523B1B" w:rsidR="5121EE3D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blue, </w:t>
            </w:r>
            <w:r w:rsidRPr="5B523B1B" w:rsidR="7B30EE3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green,</w:t>
            </w:r>
            <w:r w:rsidRPr="5B523B1B" w:rsidR="4781BE59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</w:tr>
      <w:tr w:rsidR="7B30EE3E" w:rsidTr="2A3DBDE6" w14:paraId="343AE76A">
        <w:tc>
          <w:tcPr>
            <w:tcW w:w="1440" w:type="dxa"/>
            <w:tcMar/>
            <w:vAlign w:val="top"/>
          </w:tcPr>
          <w:p w:rsidR="7B30EE3E" w:rsidP="2A3DBDE6" w:rsidRDefault="7B30EE3E" w14:paraId="0508BAD7" w14:textId="2DAE033B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7B30EE3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7B30EE3E" w:rsidP="5B523B1B" w:rsidRDefault="7B30EE3E" w14:paraId="041B5D49" w14:textId="200B1AA5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7B30EE3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 ½ inch</w:t>
            </w:r>
            <w:r w:rsidRPr="5B523B1B" w:rsidR="1444CAE1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,</w:t>
            </w:r>
            <w:r w:rsidRPr="5B523B1B" w:rsidR="7B30EE3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3-Ring Binder with pockets inside</w:t>
            </w:r>
          </w:p>
        </w:tc>
      </w:tr>
      <w:tr w:rsidR="7B30EE3E" w:rsidTr="2A3DBDE6" w14:paraId="57F5207B">
        <w:tc>
          <w:tcPr>
            <w:tcW w:w="1440" w:type="dxa"/>
            <w:tcMar/>
            <w:vAlign w:val="top"/>
          </w:tcPr>
          <w:p w:rsidR="7B30EE3E" w:rsidP="2A3DBDE6" w:rsidRDefault="7B30EE3E" w14:paraId="3DA203B8" w14:textId="4B64B248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670C694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7B30EE3E" w:rsidP="5B523B1B" w:rsidRDefault="7B30EE3E" w14:paraId="134C8E58" w14:textId="380B6A0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FC7594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Ink pens:  </w:t>
            </w:r>
            <w:r w:rsidRPr="5B523B1B" w:rsidR="670C694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Blue or Black </w:t>
            </w:r>
          </w:p>
        </w:tc>
      </w:tr>
      <w:tr w:rsidR="7B30EE3E" w:rsidTr="2A3DBDE6" w14:paraId="046FE5D0">
        <w:tc>
          <w:tcPr>
            <w:tcW w:w="1440" w:type="dxa"/>
            <w:tcMar/>
            <w:vAlign w:val="top"/>
          </w:tcPr>
          <w:p w:rsidR="7B30EE3E" w:rsidP="2A3DBDE6" w:rsidRDefault="7B30EE3E" w14:paraId="0FBC3E0C" w14:textId="307A8802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64DF45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7B30EE3E" w:rsidP="5B523B1B" w:rsidRDefault="7B30EE3E" w14:paraId="70E8093D" w14:textId="1CFAE72A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7B30EE3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Boxes of #2 </w:t>
            </w:r>
            <w:r w:rsidRPr="5B523B1B" w:rsidR="2567D2AD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pre-sharpen</w:t>
            </w:r>
            <w:r w:rsidRPr="5B523B1B" w:rsidR="2567D2AD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B523B1B" w:rsidR="79722C49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Pencils</w:t>
            </w:r>
            <w:r w:rsidRPr="5B523B1B" w:rsidR="79722C49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</w:t>
            </w:r>
            <w:r w:rsidRPr="5B523B1B" w:rsidR="7B30EE3E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 mechanical pencils)</w:t>
            </w:r>
          </w:p>
        </w:tc>
      </w:tr>
      <w:tr w:rsidR="1D69EED6" w:rsidTr="2A3DBDE6" w14:paraId="15EA980C">
        <w:trPr>
          <w:trHeight w:val="300"/>
        </w:trPr>
        <w:tc>
          <w:tcPr>
            <w:tcW w:w="1440" w:type="dxa"/>
            <w:tcMar/>
            <w:vAlign w:val="top"/>
          </w:tcPr>
          <w:p w:rsidR="24F6F1FC" w:rsidP="2A3DBDE6" w:rsidRDefault="24F6F1FC" w14:paraId="716493CA" w14:textId="2A65D5ED">
            <w:pPr>
              <w:pStyle w:val="Normal"/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24F6F1FC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875" w:type="dxa"/>
            <w:tcMar/>
            <w:vAlign w:val="top"/>
          </w:tcPr>
          <w:p w:rsidR="24F6F1FC" w:rsidP="5B523B1B" w:rsidRDefault="24F6F1FC" w14:paraId="46F1A9F2" w14:textId="031BC134">
            <w:pPr>
              <w:pStyle w:val="Normal"/>
              <w:ind w:left="0"/>
              <w:rPr>
                <w:rFonts w:ascii="Congenial" w:hAnsi="Congenial" w:eastAsia="Congenial" w:cs="Congenial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24F6F1FC">
              <w:rPr>
                <w:rFonts w:ascii="Congenial" w:hAnsi="Congenial" w:eastAsia="Congenial" w:cs="Congenial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Handheld pencil sharpener</w:t>
            </w:r>
          </w:p>
        </w:tc>
      </w:tr>
      <w:tr w:rsidR="1D69EED6" w:rsidTr="2A3DBDE6" w14:paraId="5739F57F">
        <w:trPr>
          <w:trHeight w:val="300"/>
        </w:trPr>
        <w:tc>
          <w:tcPr>
            <w:tcW w:w="1440" w:type="dxa"/>
            <w:tcMar/>
            <w:vAlign w:val="top"/>
          </w:tcPr>
          <w:p w:rsidR="1D055F80" w:rsidP="2A3DBDE6" w:rsidRDefault="1D055F80" w14:paraId="004DBB7D" w14:textId="0EC711E2">
            <w:pPr>
              <w:pStyle w:val="Normal"/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055F8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7875" w:type="dxa"/>
            <w:tcMar/>
            <w:vAlign w:val="top"/>
          </w:tcPr>
          <w:p w:rsidR="1D055F80" w:rsidP="5B523B1B" w:rsidRDefault="1D055F80" w14:paraId="28891947" w14:textId="78E54704">
            <w:pPr>
              <w:pStyle w:val="Normal"/>
              <w:rPr>
                <w:rFonts w:ascii="Congenial" w:hAnsi="Congenial" w:eastAsia="Congenial" w:cs="Congenial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055F80">
              <w:rPr>
                <w:rFonts w:ascii="Congenial" w:hAnsi="Congenial" w:eastAsia="Congenial" w:cs="Congenial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Big eraser</w:t>
            </w:r>
          </w:p>
        </w:tc>
      </w:tr>
      <w:tr w:rsidR="1D69EED6" w:rsidTr="2A3DBDE6" w14:paraId="621BD01D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5B134F2F" w14:textId="3AC1DD83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30629EAE" w14:textId="15E504E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24 count-crayons</w:t>
            </w:r>
          </w:p>
        </w:tc>
      </w:tr>
      <w:tr w:rsidR="1D69EED6" w:rsidTr="2A3DBDE6" w14:paraId="55FF7914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39E6F1D1" w14:textId="15D6A4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2F425C53" w14:textId="53D58D4F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12 </w:t>
            </w: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count-colored</w:t>
            </w: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pencils</w:t>
            </w:r>
          </w:p>
        </w:tc>
      </w:tr>
      <w:tr w:rsidR="1D69EED6" w:rsidTr="2A3DBDE6" w14:paraId="6A1051CA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3C4CA2E2" w14:textId="260C90AB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75A293DD" w14:textId="20AA887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Supply bag with zipper (</w:t>
            </w:r>
            <w:r w:rsidRPr="5B523B1B" w:rsidR="1D69EED6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 pencil box</w:t>
            </w: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</w:tr>
      <w:tr w:rsidR="1D69EED6" w:rsidTr="2A3DBDE6" w14:paraId="35C7242D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2EDF3771" w14:textId="76910806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7ADD3054" w14:textId="3A275D4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Pair of medium size scissors</w:t>
            </w:r>
          </w:p>
        </w:tc>
      </w:tr>
      <w:tr w:rsidR="1D69EED6" w:rsidTr="2A3DBDE6" w14:paraId="3B25DA90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45D5BB7D" w14:textId="1D2CB4D0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10DB094E" w14:textId="3D8826B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Yellow highlighters</w:t>
            </w:r>
          </w:p>
        </w:tc>
      </w:tr>
      <w:tr w:rsidR="1D69EED6" w:rsidTr="2A3DBDE6" w14:paraId="1846CB54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59CA4E26" w14:textId="19FF6CF0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51BE4651" w14:textId="0499242A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 ct. markers</w:t>
            </w:r>
          </w:p>
        </w:tc>
      </w:tr>
      <w:tr w:rsidR="1D69EED6" w:rsidTr="2A3DBDE6" w14:paraId="64AAD0C5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3D357C9E" w14:textId="1A406DB7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087384E6" w14:textId="0FAC05F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Large glue sticks</w:t>
            </w:r>
          </w:p>
        </w:tc>
      </w:tr>
      <w:tr w:rsidR="1D69EED6" w:rsidTr="2A3DBDE6" w14:paraId="55483BEC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179C5863" w14:textId="71EAC48A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4252B0E8" w14:textId="5BD0086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Pair of headphones or ear buds </w:t>
            </w:r>
          </w:p>
        </w:tc>
      </w:tr>
      <w:tr w:rsidR="1D69EED6" w:rsidTr="2A3DBDE6" w14:paraId="537CAF2A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2C82550A" w14:textId="3C03A70E">
            <w:pPr>
              <w:pStyle w:val="Normal"/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71C9D77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63BA1D18" w14:textId="35F4718A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Expo markers</w:t>
            </w:r>
          </w:p>
        </w:tc>
      </w:tr>
      <w:tr w:rsidR="1D69EED6" w:rsidTr="2A3DBDE6" w14:paraId="701810AB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5A68B193" w14:textId="68CD58B3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016FE35B" w14:textId="54E4F25F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Boxes Kleenex</w:t>
            </w:r>
          </w:p>
        </w:tc>
      </w:tr>
      <w:tr w:rsidR="1D69EED6" w:rsidTr="2A3DBDE6" w14:paraId="36549B49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0E55182C" w14:textId="1F2BAEAA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5041B38F" w:rsidP="5B523B1B" w:rsidRDefault="5041B38F" w14:paraId="53B19BC6" w14:textId="11ECB3DA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2B77D5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Containers</w:t>
            </w:r>
            <w:r w:rsidRPr="5B523B1B" w:rsidR="5041B38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</w:t>
            </w: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</w:t>
            </w:r>
            <w:r w:rsidRPr="5B523B1B" w:rsidR="1C6B2758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lorox</w:t>
            </w: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wipes</w:t>
            </w:r>
          </w:p>
        </w:tc>
      </w:tr>
      <w:tr w:rsidR="1D69EED6" w:rsidTr="2A3DBDE6" w14:paraId="13A89706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74EF7B36" w14:textId="6385AED2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62BF65D6" w14:textId="73BDCDA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Rolls paper towels</w:t>
            </w:r>
          </w:p>
        </w:tc>
      </w:tr>
      <w:tr w:rsidR="1D69EED6" w:rsidTr="2A3DBDE6" w14:paraId="016FD8F8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4925E6A1" w14:textId="02792A70">
            <w:pPr>
              <w:spacing w:line="259" w:lineRule="auto"/>
              <w:ind w:left="0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D69EED6" w:rsidP="5B523B1B" w:rsidRDefault="1D69EED6" w14:paraId="48C0D140" w14:textId="11019CF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Bookbag without wheels</w:t>
            </w:r>
          </w:p>
        </w:tc>
      </w:tr>
      <w:tr w:rsidR="1D69EED6" w:rsidTr="2A3DBDE6" w14:paraId="100CA829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64F88A4E" w14:textId="5D3ABB16">
            <w:pPr>
              <w:pStyle w:val="Normal"/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05891FC7" w:rsidP="5B523B1B" w:rsidRDefault="05891FC7" w14:paraId="4B8F39EB" w14:textId="29FD041B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05891F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Gallon </w:t>
            </w: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size </w:t>
            </w: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Ziplock</w:t>
            </w: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bags (last name A-M)</w:t>
            </w:r>
          </w:p>
        </w:tc>
      </w:tr>
      <w:tr w:rsidR="1D69EED6" w:rsidTr="2A3DBDE6" w14:paraId="6A85488C">
        <w:trPr>
          <w:trHeight w:val="300"/>
        </w:trPr>
        <w:tc>
          <w:tcPr>
            <w:tcW w:w="1440" w:type="dxa"/>
            <w:tcMar/>
            <w:vAlign w:val="top"/>
          </w:tcPr>
          <w:p w:rsidR="1D69EED6" w:rsidP="2A3DBDE6" w:rsidRDefault="1D69EED6" w14:paraId="0D0BA622" w14:textId="0DF0422D">
            <w:pPr>
              <w:pStyle w:val="Normal"/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3DBDE6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875" w:type="dxa"/>
            <w:tcMar/>
            <w:vAlign w:val="top"/>
          </w:tcPr>
          <w:p w:rsidR="225D8D31" w:rsidP="5B523B1B" w:rsidRDefault="225D8D31" w14:paraId="500D3A51" w14:textId="177044AF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523B1B" w:rsidR="225D8D31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Sandwich</w:t>
            </w:r>
            <w:r w:rsidRPr="5B523B1B" w:rsidR="1D69EED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size Ziplock bags (last name N-Z)</w:t>
            </w:r>
          </w:p>
        </w:tc>
      </w:tr>
    </w:tbl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f5c39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e287e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fc64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4ab5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C74DE1"/>
    <w:rsid w:val="0017BCB2"/>
    <w:rsid w:val="014989A6"/>
    <w:rsid w:val="02E55A07"/>
    <w:rsid w:val="054EAD74"/>
    <w:rsid w:val="05891FC7"/>
    <w:rsid w:val="058E14BD"/>
    <w:rsid w:val="07B9F6AA"/>
    <w:rsid w:val="0AA6ED09"/>
    <w:rsid w:val="0B113BDF"/>
    <w:rsid w:val="0BA098B6"/>
    <w:rsid w:val="0D0664F7"/>
    <w:rsid w:val="105DF5A1"/>
    <w:rsid w:val="1158CB7C"/>
    <w:rsid w:val="12B77D57"/>
    <w:rsid w:val="1444CAE1"/>
    <w:rsid w:val="14A86B8D"/>
    <w:rsid w:val="1571E8C8"/>
    <w:rsid w:val="15DFEA23"/>
    <w:rsid w:val="170DB929"/>
    <w:rsid w:val="17CFE69A"/>
    <w:rsid w:val="1C6B2758"/>
    <w:rsid w:val="1CD7F717"/>
    <w:rsid w:val="1D055F80"/>
    <w:rsid w:val="1D69EED6"/>
    <w:rsid w:val="1D7CFAAD"/>
    <w:rsid w:val="1EA11521"/>
    <w:rsid w:val="1F305B5B"/>
    <w:rsid w:val="1FBB2198"/>
    <w:rsid w:val="1FC75946"/>
    <w:rsid w:val="20B71CDF"/>
    <w:rsid w:val="225D8D31"/>
    <w:rsid w:val="24F6F1FC"/>
    <w:rsid w:val="2567D2AD"/>
    <w:rsid w:val="25A9BD88"/>
    <w:rsid w:val="25BD5E3D"/>
    <w:rsid w:val="2973D62D"/>
    <w:rsid w:val="2A3DBDE6"/>
    <w:rsid w:val="2A5280B6"/>
    <w:rsid w:val="2C392CF3"/>
    <w:rsid w:val="31931841"/>
    <w:rsid w:val="329BBC28"/>
    <w:rsid w:val="351737D6"/>
    <w:rsid w:val="351737D6"/>
    <w:rsid w:val="357A2E74"/>
    <w:rsid w:val="36A1776E"/>
    <w:rsid w:val="3A6B1141"/>
    <w:rsid w:val="3B4A13DB"/>
    <w:rsid w:val="3CF89413"/>
    <w:rsid w:val="3CFF9CC3"/>
    <w:rsid w:val="3EE8BDFD"/>
    <w:rsid w:val="3F55402B"/>
    <w:rsid w:val="40015AD7"/>
    <w:rsid w:val="419CF962"/>
    <w:rsid w:val="421E637C"/>
    <w:rsid w:val="4416CD0D"/>
    <w:rsid w:val="4556642D"/>
    <w:rsid w:val="45C46108"/>
    <w:rsid w:val="45C46108"/>
    <w:rsid w:val="4781BE59"/>
    <w:rsid w:val="480673F6"/>
    <w:rsid w:val="485FEBAB"/>
    <w:rsid w:val="48D1340E"/>
    <w:rsid w:val="48E1AEF7"/>
    <w:rsid w:val="49212141"/>
    <w:rsid w:val="4968D023"/>
    <w:rsid w:val="49A24457"/>
    <w:rsid w:val="4C0CA3EF"/>
    <w:rsid w:val="4E54A025"/>
    <w:rsid w:val="4EAE7DE9"/>
    <w:rsid w:val="5041B38F"/>
    <w:rsid w:val="50554ED5"/>
    <w:rsid w:val="5121EE3D"/>
    <w:rsid w:val="52E0D698"/>
    <w:rsid w:val="54E4FB77"/>
    <w:rsid w:val="54F247EE"/>
    <w:rsid w:val="5B523B1B"/>
    <w:rsid w:val="5B73D894"/>
    <w:rsid w:val="5BDEBA3F"/>
    <w:rsid w:val="5BF7A142"/>
    <w:rsid w:val="5FEE04D3"/>
    <w:rsid w:val="612EAB40"/>
    <w:rsid w:val="62CA7BA1"/>
    <w:rsid w:val="64268390"/>
    <w:rsid w:val="64DF4532"/>
    <w:rsid w:val="656B1B74"/>
    <w:rsid w:val="66612D85"/>
    <w:rsid w:val="670C6942"/>
    <w:rsid w:val="688CC510"/>
    <w:rsid w:val="694912EC"/>
    <w:rsid w:val="6A16C8C9"/>
    <w:rsid w:val="6A16C8C9"/>
    <w:rsid w:val="6C44FB5B"/>
    <w:rsid w:val="6DF3013B"/>
    <w:rsid w:val="6E1C840F"/>
    <w:rsid w:val="6F17F207"/>
    <w:rsid w:val="713B1AAF"/>
    <w:rsid w:val="71C74DE1"/>
    <w:rsid w:val="71C9D776"/>
    <w:rsid w:val="72DED903"/>
    <w:rsid w:val="739FF026"/>
    <w:rsid w:val="739FF026"/>
    <w:rsid w:val="75E06541"/>
    <w:rsid w:val="788E7CCC"/>
    <w:rsid w:val="78AA0A1D"/>
    <w:rsid w:val="79722C49"/>
    <w:rsid w:val="7ADA4821"/>
    <w:rsid w:val="7B30EE3E"/>
    <w:rsid w:val="7E051AE1"/>
    <w:rsid w:val="7F39A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A09A"/>
  <w15:chartTrackingRefBased/>
  <w15:docId w15:val="{366521B2-16AD-4A1E-B893-2FD436EF5B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495ffa47f7b4561" /><Relationship Type="http://schemas.openxmlformats.org/officeDocument/2006/relationships/numbering" Target="numbering.xml" Id="Re9e07bfa955740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2022-06-04T00:06:17.9689932Z</dcterms:created>
  <dcterms:modified xsi:type="dcterms:W3CDTF">2023-06-09T15:18:26.4202767Z</dcterms:modified>
  <dc:creator>Gamble, Jessica</dc:creator>
  <lastModifiedBy>Jessica Gamble</lastModifiedBy>
</coreProperties>
</file>